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53B92">
      <w:pPr>
        <w:spacing w:before="108" w:line="683" w:lineRule="exact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采购需求编制</w:t>
      </w:r>
    </w:p>
    <w:p w14:paraId="7C5B3B42">
      <w:pPr>
        <w:spacing w:line="440" w:lineRule="exact"/>
        <w:ind w:firstLine="480" w:firstLineChars="20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注：本章采购需求中打“★”的为必须满足或高于的参数指标，低于作无效标处理；</w:t>
      </w:r>
    </w:p>
    <w:p w14:paraId="52FD5068">
      <w:pPr>
        <w:spacing w:line="440" w:lineRule="exact"/>
        <w:ind w:firstLine="480" w:firstLineChars="200"/>
        <w:rPr>
          <w:rFonts w:hint="eastAsia" w:ascii="仿宋" w:hAnsi="仿宋" w:eastAsia="仿宋" w:cs="方正仿宋_GB2312"/>
          <w:sz w:val="24"/>
        </w:rPr>
      </w:pPr>
    </w:p>
    <w:p w14:paraId="5B028251">
      <w:pPr>
        <w:spacing w:line="440" w:lineRule="exact"/>
        <w:ind w:firstLine="562" w:firstLineChars="200"/>
        <w:rPr>
          <w:rFonts w:hint="eastAsia" w:ascii="仿宋" w:hAnsi="仿宋" w:eastAsia="仿宋" w:cs="方正仿宋_GB2312"/>
          <w:b/>
          <w:bCs/>
          <w:sz w:val="28"/>
          <w:szCs w:val="28"/>
        </w:rPr>
      </w:pPr>
      <w:r>
        <w:rPr>
          <w:rFonts w:hint="eastAsia" w:ascii="仿宋" w:hAnsi="仿宋" w:eastAsia="仿宋" w:cs="方正仿宋_GB2312"/>
          <w:b/>
          <w:bCs/>
          <w:sz w:val="28"/>
          <w:szCs w:val="28"/>
        </w:rPr>
        <w:t>一、项目基本情况</w:t>
      </w:r>
    </w:p>
    <w:tbl>
      <w:tblPr>
        <w:tblStyle w:val="23"/>
        <w:tblW w:w="8786" w:type="dxa"/>
        <w:tblInd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70"/>
        <w:gridCol w:w="5616"/>
      </w:tblGrid>
      <w:tr w14:paraId="2BB6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3170" w:type="dxa"/>
            <w:vAlign w:val="center"/>
          </w:tcPr>
          <w:p w14:paraId="0A4E43C8">
            <w:pPr>
              <w:spacing w:line="440" w:lineRule="exact"/>
              <w:ind w:firstLine="560" w:firstLineChars="200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项目名称</w:t>
            </w:r>
          </w:p>
        </w:tc>
        <w:tc>
          <w:tcPr>
            <w:tcW w:w="5616" w:type="dxa"/>
            <w:vAlign w:val="center"/>
          </w:tcPr>
          <w:p w14:paraId="778B07C6">
            <w:pPr>
              <w:spacing w:line="440" w:lineRule="exact"/>
              <w:ind w:firstLine="560" w:firstLineChars="200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ascii="仿宋" w:hAnsi="仿宋" w:eastAsia="仿宋" w:cs="方正仿宋_GB2312"/>
                <w:sz w:val="28"/>
                <w:szCs w:val="28"/>
              </w:rPr>
              <w:t>门诊导诊设备及集成服务</w:t>
            </w:r>
          </w:p>
        </w:tc>
      </w:tr>
      <w:tr w14:paraId="6748B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170" w:type="dxa"/>
            <w:vAlign w:val="center"/>
          </w:tcPr>
          <w:p w14:paraId="08B5C1CB">
            <w:pPr>
              <w:spacing w:line="440" w:lineRule="exact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项目预算 (单位：万元)</w:t>
            </w:r>
          </w:p>
        </w:tc>
        <w:tc>
          <w:tcPr>
            <w:tcW w:w="5616" w:type="dxa"/>
            <w:vAlign w:val="center"/>
          </w:tcPr>
          <w:p w14:paraId="3FD847D6">
            <w:pPr>
              <w:spacing w:line="440" w:lineRule="exact"/>
              <w:ind w:firstLine="560" w:firstLineChars="200"/>
              <w:jc w:val="center"/>
              <w:rPr>
                <w:rFonts w:hint="eastAsia" w:ascii="仿宋" w:hAnsi="仿宋" w:eastAsia="仿宋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856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val="en-US" w:eastAsia="zh-CN"/>
              </w:rPr>
              <w:t>万元</w:t>
            </w:r>
          </w:p>
        </w:tc>
      </w:tr>
      <w:tr w14:paraId="3F1AC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3170" w:type="dxa"/>
            <w:vAlign w:val="center"/>
          </w:tcPr>
          <w:p w14:paraId="6B3B07AE">
            <w:pPr>
              <w:spacing w:line="440" w:lineRule="exact"/>
              <w:ind w:firstLine="560" w:firstLineChars="200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采购科室</w:t>
            </w:r>
          </w:p>
        </w:tc>
        <w:tc>
          <w:tcPr>
            <w:tcW w:w="5616" w:type="dxa"/>
            <w:vAlign w:val="center"/>
          </w:tcPr>
          <w:p w14:paraId="52A28024">
            <w:pPr>
              <w:spacing w:line="440" w:lineRule="exact"/>
              <w:ind w:firstLine="560" w:firstLineChars="200"/>
              <w:jc w:val="center"/>
              <w:rPr>
                <w:rFonts w:hint="eastAsia" w:ascii="仿宋" w:hAnsi="仿宋" w:eastAsia="仿宋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门诊部</w:t>
            </w:r>
          </w:p>
        </w:tc>
      </w:tr>
    </w:tbl>
    <w:p w14:paraId="59DEC68A">
      <w:pPr>
        <w:spacing w:line="440" w:lineRule="exact"/>
        <w:ind w:firstLine="562" w:firstLineChars="200"/>
        <w:rPr>
          <w:rFonts w:hint="eastAsia" w:ascii="仿宋" w:hAnsi="仿宋" w:eastAsia="仿宋" w:cs="方正仿宋_GB2312"/>
          <w:b/>
          <w:bCs/>
          <w:sz w:val="28"/>
          <w:szCs w:val="28"/>
        </w:rPr>
      </w:pPr>
      <w:r>
        <w:rPr>
          <w:rFonts w:hint="eastAsia" w:ascii="仿宋" w:hAnsi="仿宋" w:eastAsia="仿宋" w:cs="方正仿宋_GB2312"/>
          <w:b/>
          <w:bCs/>
          <w:sz w:val="28"/>
          <w:szCs w:val="28"/>
        </w:rPr>
        <w:t>二、采购需求</w:t>
      </w:r>
    </w:p>
    <w:p w14:paraId="52739059">
      <w:pPr>
        <w:spacing w:line="440" w:lineRule="exact"/>
        <w:ind w:firstLine="482" w:firstLineChars="200"/>
        <w:rPr>
          <w:rFonts w:hint="eastAsia" w:ascii="仿宋" w:hAnsi="仿宋" w:eastAsia="仿宋" w:cs="方正仿宋_GB2312"/>
          <w:b/>
          <w:bCs/>
          <w:sz w:val="24"/>
        </w:rPr>
      </w:pPr>
      <w:r>
        <w:rPr>
          <w:rFonts w:hint="eastAsia" w:ascii="仿宋" w:hAnsi="仿宋" w:eastAsia="仿宋" w:cs="方正仿宋_GB2312"/>
          <w:b/>
          <w:bCs/>
          <w:sz w:val="24"/>
        </w:rPr>
        <w:t>(一)采购项目需实现的功能和目标：</w:t>
      </w:r>
    </w:p>
    <w:p w14:paraId="74C021A6">
      <w:pPr>
        <w:spacing w:line="440" w:lineRule="exact"/>
        <w:ind w:firstLine="607" w:firstLineChars="253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门诊导诊设备及集成服务项目，</w:t>
      </w:r>
      <w:r>
        <w:rPr>
          <w:rFonts w:ascii="仿宋" w:hAnsi="仿宋" w:eastAsia="仿宋" w:cs="方正仿宋_GB2312"/>
          <w:sz w:val="24"/>
        </w:rPr>
        <w:t>增补</w:t>
      </w:r>
      <w:r>
        <w:rPr>
          <w:rFonts w:hint="eastAsia" w:ascii="仿宋" w:hAnsi="仿宋" w:eastAsia="仿宋" w:cs="方正仿宋_GB2312"/>
          <w:sz w:val="24"/>
        </w:rPr>
        <w:t>候诊大屏迷你一体机、</w:t>
      </w:r>
      <w:r>
        <w:rPr>
          <w:rFonts w:ascii="仿宋" w:hAnsi="仿宋" w:eastAsia="仿宋" w:cs="方正仿宋_GB2312"/>
          <w:sz w:val="24"/>
        </w:rPr>
        <w:t>显示屏式无线输液通讯主机</w:t>
      </w:r>
      <w:r>
        <w:rPr>
          <w:rFonts w:hint="eastAsia" w:ascii="仿宋" w:hAnsi="仿宋" w:eastAsia="仿宋" w:cs="方正仿宋_GB2312"/>
          <w:sz w:val="24"/>
        </w:rPr>
        <w:t>、</w:t>
      </w:r>
      <w:r>
        <w:rPr>
          <w:rFonts w:ascii="仿宋" w:hAnsi="仿宋" w:eastAsia="仿宋" w:cs="方正仿宋_GB2312"/>
          <w:sz w:val="24"/>
        </w:rPr>
        <w:t>无线输液通讯中继主机</w:t>
      </w:r>
      <w:r>
        <w:rPr>
          <w:rFonts w:hint="eastAsia" w:ascii="仿宋" w:hAnsi="仿宋" w:eastAsia="仿宋" w:cs="方正仿宋_GB2312"/>
          <w:sz w:val="24"/>
        </w:rPr>
        <w:t>、</w:t>
      </w:r>
      <w:r>
        <w:rPr>
          <w:rFonts w:ascii="仿宋" w:hAnsi="仿宋" w:eastAsia="仿宋" w:cs="方正仿宋_GB2312"/>
          <w:sz w:val="24"/>
        </w:rPr>
        <w:t>无线输液呼叫按钮</w:t>
      </w:r>
      <w:r>
        <w:rPr>
          <w:rFonts w:hint="eastAsia" w:ascii="仿宋" w:hAnsi="仿宋" w:eastAsia="仿宋" w:cs="方正仿宋_GB2312"/>
          <w:sz w:val="24"/>
        </w:rPr>
        <w:t>、</w:t>
      </w:r>
      <w:r>
        <w:rPr>
          <w:rFonts w:ascii="仿宋" w:hAnsi="仿宋" w:eastAsia="仿宋" w:cs="方正仿宋_GB2312"/>
          <w:sz w:val="24"/>
        </w:rPr>
        <w:t>移动医护分机</w:t>
      </w:r>
      <w:r>
        <w:rPr>
          <w:rFonts w:hint="eastAsia" w:ascii="仿宋" w:hAnsi="仿宋" w:eastAsia="仿宋" w:cs="方正仿宋_GB2312"/>
          <w:sz w:val="24"/>
        </w:rPr>
        <w:t>、</w:t>
      </w:r>
      <w:r>
        <w:rPr>
          <w:rFonts w:ascii="仿宋" w:hAnsi="仿宋" w:eastAsia="仿宋" w:cs="方正仿宋_GB2312"/>
          <w:sz w:val="24"/>
        </w:rPr>
        <w:t>走廊显示屏等设备</w:t>
      </w:r>
      <w:r>
        <w:rPr>
          <w:rFonts w:hint="eastAsia" w:ascii="仿宋" w:hAnsi="仿宋" w:eastAsia="仿宋" w:cs="方正仿宋_GB2312"/>
          <w:sz w:val="24"/>
        </w:rPr>
        <w:t>，并提供集成安装服务。</w:t>
      </w:r>
    </w:p>
    <w:p w14:paraId="532D9BE4">
      <w:pPr>
        <w:spacing w:line="440" w:lineRule="exact"/>
        <w:ind w:firstLine="610" w:firstLineChars="253"/>
        <w:rPr>
          <w:rFonts w:hint="eastAsia" w:ascii="仿宋" w:hAnsi="仿宋" w:eastAsia="仿宋" w:cs="方正仿宋_GB2312"/>
          <w:b/>
          <w:bCs/>
          <w:sz w:val="24"/>
        </w:rPr>
      </w:pPr>
      <w:r>
        <w:rPr>
          <w:rFonts w:hint="eastAsia" w:ascii="仿宋" w:hAnsi="仿宋" w:eastAsia="仿宋" w:cs="方正仿宋_GB2312"/>
          <w:b/>
          <w:bCs/>
          <w:sz w:val="24"/>
        </w:rPr>
        <w:t>(二)项目属性：</w:t>
      </w:r>
    </w:p>
    <w:p w14:paraId="17C258D7">
      <w:pPr>
        <w:spacing w:line="440" w:lineRule="exact"/>
        <w:ind w:firstLine="607" w:firstLineChars="253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是否适宜由中小企业提供，并专门面向中小企业采购</w:t>
      </w:r>
    </w:p>
    <w:p w14:paraId="15D6EFDF">
      <w:pPr>
        <w:spacing w:line="440" w:lineRule="exact"/>
        <w:ind w:firstLine="607" w:firstLineChars="253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sdt>
        <w:sdtPr>
          <w:rPr>
            <w:rFonts w:hint="eastAsia" w:ascii="仿宋" w:hAnsi="仿宋" w:eastAsia="仿宋" w:cs="方正仿宋_GB2312"/>
            <w:sz w:val="24"/>
          </w:rPr>
          <w:id w:val="368804301"/>
          <w14:checkbox>
            <w14:checked w14:val="1"/>
            <w14:checkedState w14:val="0052" w14:font="Wingdings 2"/>
            <w14:uncheckedState w14:val="2610" w14:font="MS Gothic"/>
          </w14:checkbox>
        </w:sdtPr>
        <w:sdtEndPr>
          <w:rPr>
            <w:rFonts w:hint="eastAsia" w:ascii="仿宋" w:hAnsi="仿宋" w:eastAsia="仿宋" w:cs="方正仿宋_GB2312"/>
            <w:sz w:val="24"/>
          </w:rPr>
        </w:sdtEndPr>
        <w:sdtContent>
          <w:r>
            <w:rPr>
              <w:rFonts w:hint="eastAsia" w:ascii="仿宋" w:hAnsi="仿宋" w:eastAsia="仿宋" w:cs="方正仿宋_GB2312"/>
              <w:sz w:val="24"/>
            </w:rPr>
            <w:sym w:font="Wingdings 2" w:char="F052"/>
          </w:r>
        </w:sdtContent>
      </w:sdt>
      <w:r>
        <w:rPr>
          <w:rFonts w:hint="eastAsia" w:ascii="仿宋" w:hAnsi="仿宋" w:eastAsia="仿宋" w:cs="方正仿宋_GB2312"/>
          <w:sz w:val="24"/>
        </w:rPr>
        <w:t xml:space="preserve">是 </w:t>
      </w:r>
      <w:bookmarkStart w:id="0" w:name="OLE_LINK34"/>
      <w:r>
        <w:rPr>
          <w:rFonts w:hint="eastAsia" w:ascii="仿宋" w:hAnsi="仿宋" w:eastAsia="仿宋" w:cs="方正仿宋_GB2312"/>
          <w:sz w:val="24"/>
        </w:rPr>
        <w:t>□</w:t>
      </w:r>
      <w:bookmarkEnd w:id="0"/>
      <w:r>
        <w:rPr>
          <w:rFonts w:hint="eastAsia" w:ascii="仿宋" w:hAnsi="仿宋" w:eastAsia="仿宋" w:cs="方正仿宋_GB2312"/>
          <w:sz w:val="24"/>
        </w:rPr>
        <w:t xml:space="preserve">否 原因说明 </w:t>
      </w:r>
    </w:p>
    <w:p w14:paraId="290F943A">
      <w:pPr>
        <w:spacing w:line="440" w:lineRule="exact"/>
        <w:ind w:firstLine="610" w:firstLineChars="253"/>
        <w:rPr>
          <w:rFonts w:hint="eastAsia" w:ascii="仿宋" w:hAnsi="仿宋" w:eastAsia="仿宋" w:cs="方正仿宋_GB2312"/>
          <w:b/>
          <w:bCs/>
          <w:sz w:val="24"/>
        </w:rPr>
      </w:pPr>
      <w:r>
        <w:rPr>
          <w:rFonts w:hint="eastAsia" w:ascii="仿宋" w:hAnsi="仿宋" w:eastAsia="仿宋" w:cs="方正仿宋_GB2312"/>
          <w:b/>
          <w:bCs/>
          <w:sz w:val="24"/>
        </w:rPr>
        <w:t>(三) 采购标的汇总表</w:t>
      </w:r>
    </w:p>
    <w:tbl>
      <w:tblPr>
        <w:tblStyle w:val="23"/>
        <w:tblW w:w="701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1985"/>
        <w:gridCol w:w="1134"/>
        <w:gridCol w:w="851"/>
        <w:gridCol w:w="1276"/>
        <w:gridCol w:w="1062"/>
      </w:tblGrid>
      <w:tr w14:paraId="617416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1" w:hRule="atLeast"/>
          <w:jc w:val="center"/>
        </w:trPr>
        <w:tc>
          <w:tcPr>
            <w:tcW w:w="706" w:type="dxa"/>
            <w:vAlign w:val="center"/>
          </w:tcPr>
          <w:p w14:paraId="34C5770B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985" w:type="dxa"/>
            <w:vAlign w:val="center"/>
          </w:tcPr>
          <w:p w14:paraId="1674B2BF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134" w:type="dxa"/>
            <w:vAlign w:val="center"/>
          </w:tcPr>
          <w:p w14:paraId="15FA0362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计量单位</w:t>
            </w:r>
          </w:p>
        </w:tc>
        <w:tc>
          <w:tcPr>
            <w:tcW w:w="851" w:type="dxa"/>
            <w:vAlign w:val="center"/>
          </w:tcPr>
          <w:p w14:paraId="336090B5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76" w:type="dxa"/>
            <w:vAlign w:val="center"/>
          </w:tcPr>
          <w:p w14:paraId="76B2158E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是否进口</w:t>
            </w:r>
          </w:p>
        </w:tc>
        <w:tc>
          <w:tcPr>
            <w:tcW w:w="1062" w:type="dxa"/>
            <w:vAlign w:val="center"/>
          </w:tcPr>
          <w:p w14:paraId="28F1DB3A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6F528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706" w:type="dxa"/>
            <w:shd w:val="clear" w:color="auto" w:fill="FFFFFF"/>
            <w:vAlign w:val="center"/>
          </w:tcPr>
          <w:p w14:paraId="3D945702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EDAB69F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门诊导诊及集成服务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79CFC3B">
            <w:pPr>
              <w:spacing w:line="440" w:lineRule="exact"/>
              <w:ind w:firstLine="480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C8530AF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B2D933">
            <w:pPr>
              <w:spacing w:line="440" w:lineRule="exact"/>
              <w:ind w:firstLine="480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062" w:type="dxa"/>
            <w:shd w:val="clear" w:color="auto" w:fill="FFFFFF"/>
            <w:vAlign w:val="center"/>
          </w:tcPr>
          <w:p w14:paraId="0B437BE8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方正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E37A5CD">
      <w:pPr>
        <w:spacing w:line="440" w:lineRule="exact"/>
        <w:rPr>
          <w:rFonts w:hint="eastAsia" w:ascii="仿宋" w:hAnsi="仿宋" w:eastAsia="仿宋" w:cs="方正仿宋_GB2312"/>
          <w:b/>
          <w:bCs/>
          <w:vanish/>
          <w:sz w:val="24"/>
        </w:rPr>
      </w:pPr>
    </w:p>
    <w:p w14:paraId="2E29FD61">
      <w:pPr>
        <w:spacing w:line="440" w:lineRule="exact"/>
        <w:ind w:firstLine="482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仿宋" w:hAnsi="仿宋" w:eastAsia="仿宋" w:cs="方正仿宋_GB2312"/>
          <w:b/>
          <w:bCs/>
          <w:sz w:val="24"/>
        </w:rPr>
        <w:t xml:space="preserve">（四）技术要求与商务要求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                         </w:t>
      </w:r>
    </w:p>
    <w:p w14:paraId="1BEA3ED1">
      <w:pPr>
        <w:spacing w:line="440" w:lineRule="exact"/>
        <w:ind w:firstLine="607" w:firstLineChars="253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 xml:space="preserve">采购标的：门诊导诊及集成服务。 </w:t>
      </w:r>
    </w:p>
    <w:p w14:paraId="1E850ABD">
      <w:pPr>
        <w:pStyle w:val="18"/>
        <w:numPr>
          <w:ilvl w:val="0"/>
          <w:numId w:val="2"/>
        </w:numPr>
        <w:ind w:firstLineChars="0"/>
      </w:pPr>
      <w:r>
        <w:rPr>
          <w:rFonts w:hint="eastAsia"/>
        </w:rPr>
        <w:t>参数要求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459"/>
        <w:gridCol w:w="851"/>
        <w:gridCol w:w="728"/>
        <w:gridCol w:w="3745"/>
      </w:tblGrid>
      <w:tr w14:paraId="751A6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gridSpan w:val="2"/>
          </w:tcPr>
          <w:p w14:paraId="244CE817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采购内容</w:t>
            </w:r>
          </w:p>
        </w:tc>
        <w:tc>
          <w:tcPr>
            <w:tcW w:w="851" w:type="dxa"/>
          </w:tcPr>
          <w:p w14:paraId="35706F2E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单位</w:t>
            </w:r>
          </w:p>
        </w:tc>
        <w:tc>
          <w:tcPr>
            <w:tcW w:w="728" w:type="dxa"/>
          </w:tcPr>
          <w:p w14:paraId="356613B9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数量</w:t>
            </w:r>
          </w:p>
        </w:tc>
        <w:tc>
          <w:tcPr>
            <w:tcW w:w="3745" w:type="dxa"/>
          </w:tcPr>
          <w:p w14:paraId="280F7C25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参数要求</w:t>
            </w:r>
          </w:p>
        </w:tc>
      </w:tr>
      <w:tr w14:paraId="725E0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vMerge w:val="restart"/>
          </w:tcPr>
          <w:p w14:paraId="471D1CFC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459" w:type="dxa"/>
          </w:tcPr>
          <w:p w14:paraId="42EDCBDC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候诊大屏迷你一体机</w:t>
            </w:r>
          </w:p>
        </w:tc>
        <w:tc>
          <w:tcPr>
            <w:tcW w:w="851" w:type="dxa"/>
          </w:tcPr>
          <w:p w14:paraId="37B2885F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台</w:t>
            </w:r>
          </w:p>
        </w:tc>
        <w:tc>
          <w:tcPr>
            <w:tcW w:w="728" w:type="dxa"/>
          </w:tcPr>
          <w:p w14:paraId="572668FF">
            <w:pPr>
              <w:jc w:val="center"/>
              <w:rPr>
                <w:rFonts w:hint="eastAsia" w:ascii="仿宋" w:hAnsi="仿宋" w:eastAsia="仿宋" w:cs="Times New Roman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3745" w:type="dxa"/>
            <w:vAlign w:val="center"/>
          </w:tcPr>
          <w:p w14:paraId="7796D939">
            <w:pPr>
              <w:widowControl/>
              <w:ind w:firstLine="360"/>
              <w:jc w:val="left"/>
              <w:textAlignment w:val="center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1.支持候诊大屏挂架附加安装；</w:t>
            </w:r>
          </w:p>
          <w:p w14:paraId="711850B2">
            <w:pPr>
              <w:widowControl/>
              <w:ind w:firstLine="360"/>
              <w:jc w:val="left"/>
              <w:textAlignment w:val="center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▲2.主机：尺寸≤16cm*13cm*6cm，处理器≥二核（主频≥2.0GHz），内存≥4GB，SSD硬盘≥128GB，千兆网卡（网口）≥1，串口（RS232COM口）≥2，2.0USB接口≥5,3.0USB接口≥1；</w:t>
            </w:r>
          </w:p>
          <w:p w14:paraId="4CDCB992">
            <w:pPr>
              <w:widowControl/>
              <w:ind w:firstLine="360"/>
              <w:jc w:val="left"/>
              <w:textAlignment w:val="center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3.电源：19V/12V</w:t>
            </w:r>
            <w:r>
              <w:rPr>
                <w:rFonts w:ascii="Calibri" w:hAnsi="Calibri" w:eastAsia="仿宋" w:cs="Calibri"/>
                <w:kern w:val="0"/>
                <w:sz w:val="24"/>
                <w:lang w:bidi="ar"/>
              </w:rPr>
              <w:t> </w:t>
            </w:r>
          </w:p>
          <w:p w14:paraId="4AC7E816">
            <w:pPr>
              <w:widowControl/>
              <w:ind w:firstLine="360"/>
              <w:jc w:val="left"/>
              <w:textAlignment w:val="center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4.工作温度：-15℃~50℃</w:t>
            </w:r>
            <w:r>
              <w:rPr>
                <w:rFonts w:ascii="Calibri" w:hAnsi="Calibri" w:eastAsia="仿宋" w:cs="Calibri"/>
                <w:kern w:val="0"/>
                <w:sz w:val="24"/>
                <w:lang w:bidi="ar"/>
              </w:rPr>
              <w:t> </w:t>
            </w:r>
          </w:p>
          <w:p w14:paraId="721F69DB">
            <w:pPr>
              <w:widowControl/>
              <w:ind w:firstLine="360"/>
              <w:jc w:val="left"/>
              <w:textAlignment w:val="center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5.预装windows10及以上系统</w:t>
            </w:r>
            <w:r>
              <w:rPr>
                <w:rFonts w:ascii="Calibri" w:hAnsi="Calibri" w:eastAsia="仿宋" w:cs="Calibri"/>
                <w:kern w:val="0"/>
                <w:sz w:val="24"/>
                <w:lang w:bidi="ar"/>
              </w:rPr>
              <w:t> </w:t>
            </w:r>
          </w:p>
          <w:p w14:paraId="3A2CFCE8">
            <w:pPr>
              <w:widowControl/>
              <w:ind w:firstLine="360"/>
              <w:jc w:val="left"/>
              <w:textAlignment w:val="center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▲6.定时开关机 ：支持每日定时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自动开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、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关机；</w:t>
            </w:r>
          </w:p>
          <w:p w14:paraId="6AEF1DFB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 xml:space="preserve">7.支持与医院在用排队叫号系统软件对接，实现呼叫就诊和等候就诊患者，可进行队列信息展示，展示医生队列中正在就诊以及等候就诊的患者信息，包括患者姓名、患者序号等 </w:t>
            </w:r>
          </w:p>
        </w:tc>
      </w:tr>
      <w:tr w14:paraId="15CC0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13" w:type="dxa"/>
            <w:vMerge w:val="continue"/>
          </w:tcPr>
          <w:p w14:paraId="1D477FEE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459" w:type="dxa"/>
          </w:tcPr>
          <w:p w14:paraId="5B03856E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显示屏式无线输液通讯主机</w:t>
            </w:r>
          </w:p>
        </w:tc>
        <w:tc>
          <w:tcPr>
            <w:tcW w:w="851" w:type="dxa"/>
          </w:tcPr>
          <w:p w14:paraId="3122C11A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台</w:t>
            </w:r>
          </w:p>
        </w:tc>
        <w:tc>
          <w:tcPr>
            <w:tcW w:w="728" w:type="dxa"/>
          </w:tcPr>
          <w:p w14:paraId="1D56CAC1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1</w:t>
            </w:r>
          </w:p>
        </w:tc>
        <w:tc>
          <w:tcPr>
            <w:tcW w:w="3745" w:type="dxa"/>
          </w:tcPr>
          <w:p w14:paraId="25AD0C75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1.主机：运行内存≥256KB，机身存储≥16MB，机身尺寸（不含天线）：长≥820mm、宽≥190mm、厚≤55mm，机身重量≤4.5kg，交流200V供电；</w:t>
            </w:r>
          </w:p>
          <w:p w14:paraId="7AC39CC6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▲2.组网方式：支持无线组网与CAN总线组网，支持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通过无线方式与移动医护分机、无线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输液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呼叫按钮等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设备进行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组网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；</w:t>
            </w:r>
          </w:p>
          <w:p w14:paraId="3D624194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▲3.信息及音频提示：具有呼叫信息的显示点阵屏提示及音频播报提示；</w:t>
            </w:r>
          </w:p>
          <w:p w14:paraId="7D7AA919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4.扩展功能：支持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标准 RS-485 通讯接口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，并可扩展点阵屏显示呼叫信息；</w:t>
            </w:r>
          </w:p>
          <w:p w14:paraId="65B61838">
            <w:pPr>
              <w:ind w:firstLine="360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5.支持同时挂载≥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200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个无线输液呼叫按钮。</w:t>
            </w:r>
          </w:p>
        </w:tc>
      </w:tr>
      <w:tr w14:paraId="73ED9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vMerge w:val="continue"/>
          </w:tcPr>
          <w:p w14:paraId="4FD51689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459" w:type="dxa"/>
          </w:tcPr>
          <w:p w14:paraId="3CCE5C2A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无线输液通讯中继主机</w:t>
            </w:r>
          </w:p>
        </w:tc>
        <w:tc>
          <w:tcPr>
            <w:tcW w:w="851" w:type="dxa"/>
          </w:tcPr>
          <w:p w14:paraId="53B27B4B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台</w:t>
            </w:r>
          </w:p>
        </w:tc>
        <w:tc>
          <w:tcPr>
            <w:tcW w:w="728" w:type="dxa"/>
          </w:tcPr>
          <w:p w14:paraId="0130C364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1</w:t>
            </w:r>
          </w:p>
        </w:tc>
        <w:tc>
          <w:tcPr>
            <w:tcW w:w="3745" w:type="dxa"/>
          </w:tcPr>
          <w:p w14:paraId="46C49052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▲1.无线组网：支持通过无线方式与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移动医护分机、无线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输液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呼叫按钮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等设备进行组网；</w:t>
            </w:r>
          </w:p>
          <w:p w14:paraId="7DE16E15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2.音频输入与输出：具有音频输入与输出接口，用于系统振铃音频信号和语音信号的输入与输出；</w:t>
            </w:r>
          </w:p>
          <w:p w14:paraId="4C490E32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3.支持无线频道设置和硬件锁存配置；</w:t>
            </w:r>
          </w:p>
          <w:p w14:paraId="29B263AA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4.扩展功能：支持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标准 RS-485 通讯接口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；</w:t>
            </w:r>
          </w:p>
          <w:p w14:paraId="3BA63FE2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▲5.支持同时挂载≥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200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个无线输液呼叫按钮。</w:t>
            </w:r>
          </w:p>
        </w:tc>
      </w:tr>
      <w:tr w14:paraId="46A2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vMerge w:val="continue"/>
          </w:tcPr>
          <w:p w14:paraId="7C49EDA2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459" w:type="dxa"/>
          </w:tcPr>
          <w:p w14:paraId="3B2E6BBE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无线输液呼叫按钮</w:t>
            </w:r>
          </w:p>
        </w:tc>
        <w:tc>
          <w:tcPr>
            <w:tcW w:w="851" w:type="dxa"/>
          </w:tcPr>
          <w:p w14:paraId="7EE836A8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套</w:t>
            </w:r>
          </w:p>
        </w:tc>
        <w:tc>
          <w:tcPr>
            <w:tcW w:w="728" w:type="dxa"/>
          </w:tcPr>
          <w:p w14:paraId="2D85B4AE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1</w:t>
            </w:r>
          </w:p>
        </w:tc>
        <w:tc>
          <w:tcPr>
            <w:tcW w:w="3745" w:type="dxa"/>
          </w:tcPr>
          <w:p w14:paraId="44A2C183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★1.提供不少于39个无线输液呼叫按钮，提供承诺函并加盖供应商公章；</w:t>
            </w:r>
          </w:p>
          <w:p w14:paraId="7FEBA9A2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bookmarkStart w:id="2" w:name="_GoBack"/>
            <w:bookmarkEnd w:id="2"/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2.通过单击呼叫按键可直接呼叫护士，按下取消按键可清除呼叫；</w:t>
            </w:r>
          </w:p>
          <w:p w14:paraId="0ED79AAD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▲3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.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支持≥3节纽扣电池供电,正常情况下可呼叫8000次以上，电池寿命≥12个月；</w:t>
            </w:r>
          </w:p>
          <w:p w14:paraId="005584D7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4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.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适用于输液大厅的紧急呼叫场景；可随时向护士站或主机发起呼叫，支持独立的“取消”按键，支持清除当前呼叫，呼叫时指示灯亮起提示；</w:t>
            </w:r>
          </w:p>
          <w:p w14:paraId="6BD5E31A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▲5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.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支持固定安装，支持粘贴式安装；</w:t>
            </w:r>
          </w:p>
          <w:p w14:paraId="077642BA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6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.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只传输呼叫信号，不传输病人信息，保护患者隐私；</w:t>
            </w:r>
          </w:p>
          <w:p w14:paraId="5EEA992F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▲7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.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呼叫号码可自由配置，便于重复部署和灵活管理；</w:t>
            </w:r>
          </w:p>
          <w:p w14:paraId="69038214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8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.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具备IP54防护等级，防尘、防水工艺设计。</w:t>
            </w:r>
          </w:p>
        </w:tc>
      </w:tr>
      <w:tr w14:paraId="7FFFB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vMerge w:val="continue"/>
          </w:tcPr>
          <w:p w14:paraId="56221DAF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459" w:type="dxa"/>
          </w:tcPr>
          <w:p w14:paraId="75D99345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移动医护分机</w:t>
            </w:r>
          </w:p>
        </w:tc>
        <w:tc>
          <w:tcPr>
            <w:tcW w:w="851" w:type="dxa"/>
          </w:tcPr>
          <w:p w14:paraId="36F3AFF5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个</w:t>
            </w:r>
          </w:p>
        </w:tc>
        <w:tc>
          <w:tcPr>
            <w:tcW w:w="728" w:type="dxa"/>
          </w:tcPr>
          <w:p w14:paraId="3DB22771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2</w:t>
            </w:r>
          </w:p>
        </w:tc>
        <w:tc>
          <w:tcPr>
            <w:tcW w:w="3745" w:type="dxa"/>
          </w:tcPr>
          <w:p w14:paraId="769FE0EE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▲1．液晶屏尺寸≥2.4英寸，分辨率≥240×320，屏幕比例3：4，亮度≥300cd/㎡(Typ)。视角≥80/80/60/80deg， 供电方式：电池供电（电池≥1500mAh）；</w:t>
            </w:r>
          </w:p>
          <w:p w14:paraId="6E850438">
            <w:pPr>
              <w:ind w:firstLine="360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2.蜂鸣及震动提醒设置：当收到呼叫振铃或者短信息时，移动医护分机会有蜂鸣及震动提示。</w:t>
            </w:r>
          </w:p>
        </w:tc>
      </w:tr>
      <w:tr w14:paraId="42B3C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13" w:type="dxa"/>
            <w:vMerge w:val="continue"/>
          </w:tcPr>
          <w:p w14:paraId="105ABBB4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459" w:type="dxa"/>
          </w:tcPr>
          <w:p w14:paraId="03DF9953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走廊显示屏</w:t>
            </w:r>
          </w:p>
        </w:tc>
        <w:tc>
          <w:tcPr>
            <w:tcW w:w="851" w:type="dxa"/>
          </w:tcPr>
          <w:p w14:paraId="3409A9B8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台</w:t>
            </w:r>
          </w:p>
        </w:tc>
        <w:tc>
          <w:tcPr>
            <w:tcW w:w="728" w:type="dxa"/>
          </w:tcPr>
          <w:p w14:paraId="71C0C3E5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1</w:t>
            </w:r>
          </w:p>
        </w:tc>
        <w:tc>
          <w:tcPr>
            <w:tcW w:w="3745" w:type="dxa"/>
          </w:tcPr>
          <w:p w14:paraId="0B28100C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▲1．组网：通过RS485协议进行数据通讯；</w:t>
            </w:r>
          </w:p>
          <w:p w14:paraId="1AFC468C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2．显示屏幕：双面Φ3.75LED点阵屏，像素点不低于128×32，支持显示两行八个汉字；</w:t>
            </w:r>
          </w:p>
          <w:p w14:paraId="5B2B2673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▲3．声学要求：</w:t>
            </w:r>
            <w:r>
              <w:rPr>
                <w:rFonts w:ascii="仿宋" w:hAnsi="仿宋" w:eastAsia="仿宋" w:cs="宋体"/>
                <w:kern w:val="0"/>
                <w:sz w:val="24"/>
                <w:lang w:bidi="ar"/>
              </w:rPr>
              <w:t>内置扬声器，呼叫时支持同步语音播报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；</w:t>
            </w:r>
          </w:p>
          <w:p w14:paraId="216EEF75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4．支持吸顶或悬挂安装；长度不超过900mm，宽度不超过200mm，厚度不超过45mm；整机重量不超过4kg；</w:t>
            </w:r>
          </w:p>
          <w:p w14:paraId="37E521A3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5．环境可靠性：工作温度：-10℃～55℃；工作湿度：10%～90%；静电防护等级：±15KV；群脉冲等级：1.2KV@5KHz；</w:t>
            </w:r>
          </w:p>
          <w:p w14:paraId="6C4844A7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6．呼叫时支持显示座位号；</w:t>
            </w:r>
          </w:p>
          <w:p w14:paraId="2B7E9DBA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7．支持显示多种格式的日期时间样式和温馨提示等内容；</w:t>
            </w:r>
          </w:p>
          <w:p w14:paraId="3375A124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8．外观有醒目中英文“静”字标识，提示病区人员</w:t>
            </w: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  <w:lang w:bidi="ar"/>
              </w:rPr>
              <w:t>保持安静；</w:t>
            </w:r>
            <w:r>
              <w:rPr>
                <w:rFonts w:hint="eastAsia" w:ascii="仿宋" w:hAnsi="仿宋" w:eastAsia="仿宋" w:cs="宋体"/>
                <w:strike w:val="0"/>
                <w:kern w:val="0"/>
                <w:sz w:val="24"/>
                <w:highlight w:val="none"/>
                <w:lang w:bidi="ar"/>
              </w:rPr>
              <w:t>内置扬声器，呼叫时支持同步语音播报。</w:t>
            </w:r>
          </w:p>
        </w:tc>
      </w:tr>
      <w:tr w14:paraId="303F9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vMerge w:val="continue"/>
          </w:tcPr>
          <w:p w14:paraId="43811EA9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459" w:type="dxa"/>
          </w:tcPr>
          <w:p w14:paraId="4B820AD7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集成安装服务</w:t>
            </w:r>
          </w:p>
        </w:tc>
        <w:tc>
          <w:tcPr>
            <w:tcW w:w="851" w:type="dxa"/>
          </w:tcPr>
          <w:p w14:paraId="56E6C4F4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项</w:t>
            </w:r>
          </w:p>
        </w:tc>
        <w:tc>
          <w:tcPr>
            <w:tcW w:w="728" w:type="dxa"/>
          </w:tcPr>
          <w:p w14:paraId="6E1E9F3A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1</w:t>
            </w:r>
          </w:p>
        </w:tc>
        <w:tc>
          <w:tcPr>
            <w:tcW w:w="3745" w:type="dxa"/>
          </w:tcPr>
          <w:p w14:paraId="27CF6510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1.对项目中显示屏式无线输液通讯主机、</w:t>
            </w:r>
            <w:r>
              <w:rPr>
                <w:rFonts w:ascii="仿宋" w:hAnsi="仿宋" w:eastAsia="仿宋" w:cs="宋体"/>
                <w:kern w:val="0"/>
                <w:sz w:val="24"/>
                <w:highlight w:val="none"/>
                <w:lang w:bidi="ar"/>
              </w:rPr>
              <w:t>无线输液通讯中继主机</w:t>
            </w: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  <w:lang w:bidi="ar"/>
              </w:rPr>
              <w:t>、移动医护分</w:t>
            </w: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机、无线输液呼叫按钮和走廊显示屏进行集成安装，形成跨输液室和急诊抢救室的输液叫号系统。</w:t>
            </w:r>
          </w:p>
          <w:p w14:paraId="6CF28E07">
            <w:pPr>
              <w:ind w:firstLine="360"/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bidi="ar"/>
              </w:rPr>
              <w:t>2.提供本项目中所有设备的集成安装服务，在医院指定地点完成安装。</w:t>
            </w:r>
          </w:p>
        </w:tc>
      </w:tr>
    </w:tbl>
    <w:p w14:paraId="7500CB53">
      <w:pPr>
        <w:spacing w:before="240" w:line="420" w:lineRule="exact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(2)商务要求：</w:t>
      </w:r>
    </w:p>
    <w:p w14:paraId="079B394A">
      <w:pPr>
        <w:spacing w:line="440" w:lineRule="exact"/>
        <w:ind w:firstLine="42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1、交付时间</w:t>
      </w:r>
    </w:p>
    <w:p w14:paraId="0B9D7511">
      <w:pPr>
        <w:spacing w:line="440" w:lineRule="exact"/>
        <w:ind w:firstLine="42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合同签订后</w:t>
      </w:r>
      <w:r>
        <w:rPr>
          <w:rFonts w:hint="eastAsia" w:ascii="仿宋" w:hAnsi="仿宋" w:eastAsia="仿宋" w:cs="方正仿宋_GB2312"/>
          <w:sz w:val="24"/>
          <w:lang w:val="en-US" w:eastAsia="zh-CN"/>
        </w:rPr>
        <w:t>60</w:t>
      </w:r>
      <w:r>
        <w:rPr>
          <w:rFonts w:hint="eastAsia" w:ascii="仿宋" w:hAnsi="仿宋" w:eastAsia="仿宋" w:cs="方正仿宋_GB2312"/>
          <w:sz w:val="24"/>
        </w:rPr>
        <w:t>日完成项目的建设</w:t>
      </w:r>
    </w:p>
    <w:p w14:paraId="7884F0DE">
      <w:pPr>
        <w:spacing w:line="440" w:lineRule="exact"/>
        <w:ind w:firstLine="42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2、质保期及服务要求</w:t>
      </w:r>
    </w:p>
    <w:p w14:paraId="4AD0B495">
      <w:pPr>
        <w:spacing w:line="440" w:lineRule="exact"/>
        <w:ind w:firstLine="42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质保期：项目验收后提供2年的免费维保期</w:t>
      </w:r>
    </w:p>
    <w:p w14:paraId="1615F931">
      <w:pPr>
        <w:spacing w:line="440" w:lineRule="exact"/>
        <w:ind w:firstLine="42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供应商应提供完善的售后服务和技术支持，包括但不限于热线电话、远程网络、现场等技术支持服务。根据故障对门诊业务的影响范围和紧急程度对事件进行分级，</w:t>
      </w:r>
      <w:r>
        <w:rPr>
          <w:rFonts w:ascii="仿宋" w:hAnsi="仿宋" w:eastAsia="仿宋" w:cs="方正仿宋_GB2312"/>
          <w:sz w:val="24"/>
        </w:rPr>
        <w:t>并按故障分级进行处置</w:t>
      </w:r>
      <w:r>
        <w:rPr>
          <w:rFonts w:hint="eastAsia" w:ascii="仿宋" w:hAnsi="仿宋" w:eastAsia="仿宋" w:cs="方正仿宋_GB2312"/>
          <w:sz w:val="24"/>
        </w:rPr>
        <w:t>（</w:t>
      </w:r>
      <w:r>
        <w:rPr>
          <w:rFonts w:ascii="仿宋" w:hAnsi="仿宋" w:eastAsia="仿宋" w:cs="方正仿宋_GB2312"/>
          <w:sz w:val="24"/>
        </w:rPr>
        <w:t>本条款全部时间为7×24 小时全天候计时，自采购人有效故障通知送达供应商之时起计算</w:t>
      </w:r>
      <w:r>
        <w:rPr>
          <w:rFonts w:hint="eastAsia" w:ascii="仿宋" w:hAnsi="仿宋" w:eastAsia="仿宋" w:cs="方正仿宋_GB2312"/>
          <w:sz w:val="24"/>
        </w:rPr>
        <w:t>）：</w:t>
      </w:r>
    </w:p>
    <w:p w14:paraId="5CF47489">
      <w:pPr>
        <w:spacing w:line="440" w:lineRule="exact"/>
        <w:ind w:firstLine="42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一级（重大故障）：</w:t>
      </w:r>
      <w:r>
        <w:rPr>
          <w:rFonts w:hint="eastAsia" w:ascii="仿宋" w:hAnsi="仿宋" w:eastAsia="仿宋" w:cs="方正仿宋_GB2312"/>
          <w:sz w:val="24"/>
          <w:lang w:val="en-US" w:eastAsia="zh-CN"/>
        </w:rPr>
        <w:t>全部</w:t>
      </w:r>
      <w:r>
        <w:rPr>
          <w:rFonts w:hint="eastAsia" w:ascii="仿宋" w:hAnsi="仿宋" w:eastAsia="仿宋" w:cs="方正仿宋_GB2312"/>
          <w:sz w:val="24"/>
        </w:rPr>
        <w:t>输液呼叫</w:t>
      </w:r>
      <w:r>
        <w:rPr>
          <w:rFonts w:hint="eastAsia" w:ascii="仿宋" w:hAnsi="仿宋" w:eastAsia="仿宋" w:cs="方正仿宋_GB2312"/>
          <w:sz w:val="24"/>
          <w:lang w:val="en-US" w:eastAsia="zh-CN"/>
        </w:rPr>
        <w:t>设备无响应，输液</w:t>
      </w:r>
      <w:r>
        <w:rPr>
          <w:rFonts w:hint="eastAsia" w:ascii="仿宋" w:hAnsi="仿宋" w:eastAsia="仿宋" w:cs="方正仿宋_GB2312"/>
          <w:sz w:val="24"/>
        </w:rPr>
        <w:t>业务无法开展，</w:t>
      </w:r>
      <w:r>
        <w:rPr>
          <w:rFonts w:ascii="仿宋" w:hAnsi="仿宋" w:eastAsia="仿宋" w:cs="方正仿宋_GB2312"/>
          <w:sz w:val="24"/>
        </w:rPr>
        <w:t>供应商在接采购人通知后15分钟内响应，2小时内恢复核心业务；</w:t>
      </w:r>
      <w:r>
        <w:rPr>
          <w:rFonts w:hint="eastAsia" w:ascii="仿宋" w:hAnsi="仿宋" w:eastAsia="仿宋" w:cs="方正仿宋_GB2312"/>
          <w:sz w:val="24"/>
        </w:rPr>
        <w:t>二级（严重故障）：</w:t>
      </w:r>
      <w:r>
        <w:rPr>
          <w:rFonts w:hint="eastAsia" w:ascii="仿宋" w:hAnsi="仿宋" w:eastAsia="仿宋" w:cs="方正仿宋_GB2312"/>
          <w:sz w:val="24"/>
          <w:lang w:val="en-US" w:eastAsia="zh-CN"/>
        </w:rPr>
        <w:t>部分</w:t>
      </w:r>
      <w:r>
        <w:rPr>
          <w:rFonts w:hint="eastAsia" w:ascii="仿宋" w:hAnsi="仿宋" w:eastAsia="仿宋" w:cs="方正仿宋_GB2312"/>
          <w:sz w:val="24"/>
        </w:rPr>
        <w:t>输液呼叫</w:t>
      </w:r>
      <w:r>
        <w:rPr>
          <w:rFonts w:hint="eastAsia" w:ascii="仿宋" w:hAnsi="仿宋" w:eastAsia="仿宋" w:cs="方正仿宋_GB2312"/>
          <w:sz w:val="24"/>
          <w:lang w:val="en-US" w:eastAsia="zh-CN"/>
        </w:rPr>
        <w:t>设备</w:t>
      </w:r>
      <w:r>
        <w:rPr>
          <w:rFonts w:hint="eastAsia" w:ascii="仿宋" w:hAnsi="仿宋" w:eastAsia="仿宋" w:cs="方正仿宋_GB2312"/>
          <w:sz w:val="24"/>
        </w:rPr>
        <w:t>中断，影响常门</w:t>
      </w:r>
      <w:r>
        <w:rPr>
          <w:rFonts w:hint="eastAsia" w:ascii="仿宋" w:hAnsi="仿宋" w:eastAsia="仿宋" w:cs="方正仿宋_GB2312"/>
          <w:sz w:val="24"/>
          <w:lang w:val="en-US" w:eastAsia="zh-CN"/>
        </w:rPr>
        <w:t>急</w:t>
      </w:r>
      <w:r>
        <w:rPr>
          <w:rFonts w:hint="eastAsia" w:ascii="仿宋" w:hAnsi="仿宋" w:eastAsia="仿宋" w:cs="方正仿宋_GB2312"/>
          <w:sz w:val="24"/>
        </w:rPr>
        <w:t>诊</w:t>
      </w:r>
      <w:r>
        <w:rPr>
          <w:rFonts w:hint="eastAsia" w:ascii="仿宋" w:hAnsi="仿宋" w:eastAsia="仿宋" w:cs="方正仿宋_GB2312"/>
          <w:sz w:val="24"/>
          <w:lang w:val="en-US" w:eastAsia="zh-CN"/>
        </w:rPr>
        <w:t>输液</w:t>
      </w:r>
      <w:r>
        <w:rPr>
          <w:rFonts w:hint="eastAsia" w:ascii="仿宋" w:hAnsi="仿宋" w:eastAsia="仿宋" w:cs="方正仿宋_GB2312"/>
          <w:sz w:val="24"/>
        </w:rPr>
        <w:t>工作，</w:t>
      </w:r>
      <w:r>
        <w:rPr>
          <w:rFonts w:ascii="仿宋" w:hAnsi="仿宋" w:eastAsia="仿宋" w:cs="方正仿宋_GB2312"/>
          <w:sz w:val="24"/>
        </w:rPr>
        <w:t>供应商在接采购人通知后30分钟内响应，4小时内修复；</w:t>
      </w:r>
      <w:r>
        <w:rPr>
          <w:rFonts w:hint="eastAsia" w:ascii="仿宋" w:hAnsi="仿宋" w:eastAsia="仿宋" w:cs="方正仿宋_GB2312"/>
          <w:sz w:val="24"/>
        </w:rPr>
        <w:t>三级（一般故障）：单台设备故障</w:t>
      </w:r>
      <w:r>
        <w:rPr>
          <w:rFonts w:hint="eastAsia" w:ascii="仿宋" w:hAnsi="仿宋" w:eastAsia="仿宋" w:cs="方正仿宋_GB2312"/>
          <w:sz w:val="24"/>
          <w:lang w:eastAsia="zh-CN"/>
        </w:rPr>
        <w:t>，</w:t>
      </w:r>
      <w:r>
        <w:rPr>
          <w:rFonts w:hint="eastAsia" w:ascii="仿宋" w:hAnsi="仿宋" w:eastAsia="仿宋" w:cs="方正仿宋_GB2312"/>
          <w:sz w:val="24"/>
        </w:rPr>
        <w:t>系统整体业务不受影响，不影响门诊整体运行</w:t>
      </w:r>
      <w:r>
        <w:rPr>
          <w:rFonts w:ascii="仿宋" w:hAnsi="仿宋" w:eastAsia="仿宋" w:cs="方正仿宋_GB2312"/>
          <w:sz w:val="24"/>
        </w:rPr>
        <w:t>，供应商在接采购人通知后1小时内响应，12小时内修复</w:t>
      </w:r>
      <w:r>
        <w:rPr>
          <w:rFonts w:hint="eastAsia" w:ascii="仿宋" w:hAnsi="仿宋" w:eastAsia="仿宋" w:cs="方正仿宋_GB2312"/>
          <w:sz w:val="24"/>
        </w:rPr>
        <w:t>；四级（服务需求）：设备参数微调、账号权限调整、显示模板调整、操作咨询、使用指导、报表调整等非故障类业务需求，</w:t>
      </w:r>
      <w:r>
        <w:rPr>
          <w:rFonts w:ascii="仿宋" w:hAnsi="仿宋" w:eastAsia="仿宋" w:cs="方正仿宋_GB2312"/>
          <w:sz w:val="24"/>
        </w:rPr>
        <w:t>供应商在接采购人通知后2小时内响应，24小时内修复</w:t>
      </w:r>
      <w:r>
        <w:rPr>
          <w:rFonts w:hint="eastAsia" w:ascii="仿宋" w:hAnsi="仿宋" w:eastAsia="仿宋" w:cs="方正仿宋_GB2312"/>
          <w:sz w:val="24"/>
        </w:rPr>
        <w:t>。对于采购人明确通知需要现场处置的故障，供应商须安排具备对应实施经验的技术人员12小时内到达医院现场；人员到场后2小时内出具明确可行处置方案，持续跟进直至问题彻底解决。</w:t>
      </w:r>
    </w:p>
    <w:p w14:paraId="1ADACCA6">
      <w:pPr>
        <w:spacing w:line="440" w:lineRule="exact"/>
        <w:ind w:firstLine="420"/>
        <w:rPr>
          <w:rFonts w:hint="eastAsia" w:ascii="仿宋" w:hAnsi="仿宋" w:eastAsia="仿宋" w:cs="方正仿宋_GB2312"/>
          <w:color w:val="EE0000"/>
          <w:sz w:val="24"/>
        </w:rPr>
      </w:pPr>
      <w:r>
        <w:rPr>
          <w:rFonts w:hint="eastAsia" w:ascii="仿宋" w:hAnsi="仿宋" w:eastAsia="仿宋" w:cs="方正仿宋_GB2312"/>
          <w:sz w:val="24"/>
        </w:rPr>
        <w:t>★</w:t>
      </w:r>
      <w:r>
        <w:rPr>
          <w:rFonts w:hint="eastAsia" w:ascii="仿宋" w:hAnsi="仿宋" w:eastAsia="仿宋" w:cs="方正仿宋_GB2312"/>
          <w:color w:val="EE0000"/>
          <w:sz w:val="24"/>
          <w:highlight w:val="yellow"/>
        </w:rPr>
        <w:t>本项目所有设备硬件故障，质保期内供应商须提供免费维修服务，不得收取配件、人工、差旅费用。</w:t>
      </w:r>
      <w:r>
        <w:rPr>
          <w:rFonts w:ascii="仿宋" w:hAnsi="仿宋" w:eastAsia="仿宋" w:cs="方正仿宋_GB2312"/>
          <w:color w:val="EE0000"/>
          <w:sz w:val="24"/>
          <w:highlight w:val="yellow"/>
        </w:rPr>
        <w:t>对此项进行承诺，提供承诺函并加盖供应商公章。</w:t>
      </w:r>
    </w:p>
    <w:p w14:paraId="605CB400">
      <w:pPr>
        <w:spacing w:line="440" w:lineRule="exact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3、付款方式</w:t>
      </w:r>
    </w:p>
    <w:p w14:paraId="08680819">
      <w:pPr>
        <w:spacing w:line="440" w:lineRule="exact"/>
        <w:ind w:firstLine="480" w:firstLineChars="20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合同签订后，甲方自收到乙方发票30天内支付合同总价的30%；</w:t>
      </w:r>
      <w:r>
        <w:rPr>
          <w:rFonts w:ascii="仿宋" w:hAnsi="仿宋" w:eastAsia="仿宋" w:cs="方正仿宋_GB2312"/>
          <w:sz w:val="24"/>
        </w:rPr>
        <w:t>设备</w:t>
      </w:r>
      <w:r>
        <w:rPr>
          <w:rFonts w:hint="eastAsia" w:ascii="仿宋" w:hAnsi="仿宋" w:eastAsia="仿宋" w:cs="方正仿宋_GB2312"/>
          <w:sz w:val="24"/>
        </w:rPr>
        <w:t>送达现场，</w:t>
      </w:r>
      <w:r>
        <w:rPr>
          <w:rFonts w:ascii="仿宋" w:hAnsi="仿宋" w:eastAsia="仿宋" w:cs="方正仿宋_GB2312"/>
          <w:sz w:val="24"/>
        </w:rPr>
        <w:t>安装调试</w:t>
      </w:r>
      <w:r>
        <w:rPr>
          <w:rFonts w:hint="eastAsia" w:ascii="仿宋" w:hAnsi="仿宋" w:eastAsia="仿宋" w:cs="方正仿宋_GB2312"/>
          <w:sz w:val="24"/>
        </w:rPr>
        <w:t>完毕，</w:t>
      </w:r>
      <w:r>
        <w:rPr>
          <w:rFonts w:ascii="仿宋" w:hAnsi="仿宋" w:eastAsia="仿宋" w:cs="方正仿宋_GB2312"/>
          <w:sz w:val="24"/>
        </w:rPr>
        <w:t>验收合格</w:t>
      </w:r>
      <w:r>
        <w:rPr>
          <w:rFonts w:hint="eastAsia" w:ascii="仿宋" w:hAnsi="仿宋" w:eastAsia="仿宋" w:cs="方正仿宋_GB2312"/>
          <w:sz w:val="24"/>
        </w:rPr>
        <w:t>后，</w:t>
      </w:r>
      <w:r>
        <w:rPr>
          <w:rFonts w:ascii="仿宋" w:hAnsi="仿宋" w:eastAsia="仿宋" w:cs="方正仿宋_GB2312"/>
          <w:sz w:val="24"/>
        </w:rPr>
        <w:t>甲方自收到乙方发票30天内</w:t>
      </w:r>
      <w:r>
        <w:rPr>
          <w:rFonts w:hint="eastAsia" w:ascii="仿宋" w:hAnsi="仿宋" w:eastAsia="仿宋" w:cs="方正仿宋_GB2312"/>
          <w:sz w:val="24"/>
        </w:rPr>
        <w:t>支付合同总价的60%；质保期满后，</w:t>
      </w:r>
      <w:r>
        <w:rPr>
          <w:rFonts w:ascii="仿宋" w:hAnsi="仿宋" w:eastAsia="仿宋" w:cs="方正仿宋_GB2312"/>
          <w:sz w:val="24"/>
        </w:rPr>
        <w:t>甲方自收到乙方发票30天内</w:t>
      </w:r>
      <w:r>
        <w:rPr>
          <w:rFonts w:hint="eastAsia" w:ascii="仿宋" w:hAnsi="仿宋" w:eastAsia="仿宋" w:cs="方正仿宋_GB2312"/>
          <w:sz w:val="24"/>
        </w:rPr>
        <w:t>支付合同总价的10%。</w:t>
      </w:r>
    </w:p>
    <w:p w14:paraId="3E170321">
      <w:pPr>
        <w:spacing w:line="440" w:lineRule="exact"/>
        <w:ind w:firstLine="562" w:firstLineChars="200"/>
        <w:rPr>
          <w:rFonts w:hint="eastAsia" w:ascii="仿宋" w:hAnsi="仿宋" w:eastAsia="仿宋" w:cs="方正仿宋_GB2312"/>
          <w:b/>
          <w:bCs/>
          <w:sz w:val="28"/>
          <w:szCs w:val="28"/>
        </w:rPr>
      </w:pPr>
      <w:bookmarkStart w:id="1" w:name="OLE_LINK42"/>
      <w:r>
        <w:rPr>
          <w:rFonts w:hint="eastAsia" w:ascii="仿宋" w:hAnsi="仿宋" w:eastAsia="仿宋" w:cs="方正仿宋_GB2312"/>
          <w:b/>
          <w:bCs/>
          <w:sz w:val="28"/>
          <w:szCs w:val="28"/>
        </w:rPr>
        <w:t>三、评分标准</w:t>
      </w:r>
    </w:p>
    <w:bookmarkEnd w:id="1"/>
    <w:p w14:paraId="67947A51">
      <w:pPr>
        <w:spacing w:line="440" w:lineRule="exact"/>
        <w:ind w:firstLine="420" w:firstLineChars="0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本项目报价为固定金额报价，价格采用低价优先法计算，即满足比选文件要求且响应价格最低的报价为评价基准价，其价格分为满分100分。其他供应商的价格分统一按照下列公式计算：投标报价得分=（评价基准价/响应报价）×100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D7BF56C-B258-4119-B88C-5A6936D94000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9890329-D610-4222-A6C0-4DAB12672A0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8D3EA31-6B5B-421F-A307-8482F572659C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8774B0C1-7CF7-4C4B-99B6-BC1A2827803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8156BB"/>
    <w:multiLevelType w:val="multilevel"/>
    <w:tmpl w:val="6C8156BB"/>
    <w:lvl w:ilvl="0" w:tentative="0">
      <w:start w:val="1"/>
      <w:numFmt w:val="decimal"/>
      <w:suff w:val="nothing"/>
      <w:lvlText w:val="%1."/>
      <w:lvlJc w:val="left"/>
      <w:rPr>
        <w:rFonts w:hint="default" w:ascii="宋体" w:hAnsi="宋体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1"/>
        <w:szCs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decimal"/>
      <w:lvlRestart w:val="0"/>
      <w:suff w:val="nothing"/>
      <w:lvlText w:val="%1.%2."/>
      <w:lvlJc w:val="left"/>
      <w:pPr>
        <w:ind w:left="-1" w:firstLine="0"/>
      </w:pPr>
      <w:rPr>
        <w:rFonts w:hint="default" w:ascii="宋体" w:hAnsi="宋体" w:eastAsia="宋体" w:cs="Times New Roman"/>
        <w:b w:val="0"/>
        <w:i w:val="0"/>
        <w:sz w:val="24"/>
        <w:szCs w:val="24"/>
      </w:rPr>
    </w:lvl>
    <w:lvl w:ilvl="2" w:tentative="0">
      <w:start w:val="1"/>
      <w:numFmt w:val="decimal"/>
      <w:lvlRestart w:val="0"/>
      <w:pStyle w:val="8"/>
      <w:suff w:val="nothing"/>
      <w:lvlText w:val="%1.%2.%3."/>
      <w:lvlJc w:val="left"/>
      <w:pPr>
        <w:ind w:left="-1" w:firstLine="0"/>
      </w:pPr>
      <w:rPr>
        <w:rFonts w:hint="eastAsia" w:ascii="宋体" w:hAnsi="宋体" w:eastAsia="宋体"/>
        <w:b/>
        <w:i w:val="0"/>
        <w:sz w:val="24"/>
      </w:rPr>
    </w:lvl>
    <w:lvl w:ilvl="3" w:tentative="0">
      <w:start w:val="1"/>
      <w:numFmt w:val="decimal"/>
      <w:suff w:val="nothing"/>
      <w:lvlText w:val="%1.%2.%3.%4."/>
      <w:lvlJc w:val="left"/>
      <w:pPr>
        <w:ind w:left="-1" w:firstLine="0"/>
      </w:pPr>
      <w:rPr>
        <w:rFonts w:hint="eastAsia" w:ascii="宋体" w:hAnsi="宋体" w:eastAsia="宋体"/>
        <w:b/>
        <w:i w:val="0"/>
        <w:sz w:val="24"/>
      </w:rPr>
    </w:lvl>
    <w:lvl w:ilvl="4" w:tentative="0">
      <w:start w:val="1"/>
      <w:numFmt w:val="decimal"/>
      <w:suff w:val="nothing"/>
      <w:lvlText w:val="%1.%2.%3.%4.%5."/>
      <w:lvlJc w:val="left"/>
      <w:pPr>
        <w:ind w:left="-1" w:firstLine="0"/>
      </w:pPr>
      <w:rPr>
        <w:rFonts w:hint="eastAsia" w:ascii="宋体" w:hAnsi="宋体" w:eastAsia="宋体"/>
      </w:rPr>
    </w:lvl>
    <w:lvl w:ilvl="5" w:tentative="0">
      <w:start w:val="1"/>
      <w:numFmt w:val="decimal"/>
      <w:suff w:val="nothing"/>
      <w:lvlText w:val="%1.%2.%3.%4.%5.%6."/>
      <w:lvlJc w:val="left"/>
      <w:pPr>
        <w:ind w:left="-1" w:firstLine="0"/>
      </w:pPr>
      <w:rPr>
        <w:rFonts w:hint="eastAsia" w:ascii="宋体" w:hAnsi="宋体" w:eastAsia="宋体"/>
      </w:rPr>
    </w:lvl>
    <w:lvl w:ilvl="6" w:tentative="0">
      <w:start w:val="1"/>
      <w:numFmt w:val="decimal"/>
      <w:lvlText w:val="%1.%2.%3.%4.%5.%6.%7."/>
      <w:lvlJc w:val="left"/>
      <w:pPr>
        <w:ind w:left="-1" w:firstLine="0"/>
      </w:pPr>
      <w:rPr>
        <w:rFonts w:hint="eastAsia" w:eastAsia="宋体"/>
      </w:rPr>
    </w:lvl>
    <w:lvl w:ilvl="7" w:tentative="0">
      <w:start w:val="1"/>
      <w:numFmt w:val="decimal"/>
      <w:lvlText w:val="%1.%2.%3.%4.%5.%6.%7.%8"/>
      <w:lvlJc w:val="left"/>
      <w:pPr>
        <w:ind w:left="4393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1" w:hanging="1700"/>
      </w:pPr>
      <w:rPr>
        <w:rFonts w:hint="eastAsia"/>
      </w:rPr>
    </w:lvl>
  </w:abstractNum>
  <w:abstractNum w:abstractNumId="1">
    <w:nsid w:val="6D134882"/>
    <w:multiLevelType w:val="multilevel"/>
    <w:tmpl w:val="6D134882"/>
    <w:lvl w:ilvl="0" w:tentative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220120"/>
    <w:rsid w:val="00013CC1"/>
    <w:rsid w:val="00063765"/>
    <w:rsid w:val="0006766C"/>
    <w:rsid w:val="000734E3"/>
    <w:rsid w:val="0008283D"/>
    <w:rsid w:val="00085CC4"/>
    <w:rsid w:val="0009218A"/>
    <w:rsid w:val="000F1757"/>
    <w:rsid w:val="00123DFE"/>
    <w:rsid w:val="00133FD5"/>
    <w:rsid w:val="00134BD6"/>
    <w:rsid w:val="001367BE"/>
    <w:rsid w:val="001B7132"/>
    <w:rsid w:val="001C5D5F"/>
    <w:rsid w:val="001D44DB"/>
    <w:rsid w:val="001D4E7F"/>
    <w:rsid w:val="00223E68"/>
    <w:rsid w:val="00225051"/>
    <w:rsid w:val="00233C51"/>
    <w:rsid w:val="0023629D"/>
    <w:rsid w:val="00242688"/>
    <w:rsid w:val="002616FD"/>
    <w:rsid w:val="002721DE"/>
    <w:rsid w:val="00292BC1"/>
    <w:rsid w:val="002966B9"/>
    <w:rsid w:val="002B0446"/>
    <w:rsid w:val="002B56E6"/>
    <w:rsid w:val="00305AD1"/>
    <w:rsid w:val="003174AD"/>
    <w:rsid w:val="00322147"/>
    <w:rsid w:val="003252A3"/>
    <w:rsid w:val="00350FD2"/>
    <w:rsid w:val="00357C69"/>
    <w:rsid w:val="00360071"/>
    <w:rsid w:val="0036319E"/>
    <w:rsid w:val="00364E9C"/>
    <w:rsid w:val="00365596"/>
    <w:rsid w:val="003737A2"/>
    <w:rsid w:val="00377662"/>
    <w:rsid w:val="00387D48"/>
    <w:rsid w:val="003B1929"/>
    <w:rsid w:val="003D12FF"/>
    <w:rsid w:val="003E2733"/>
    <w:rsid w:val="004077BB"/>
    <w:rsid w:val="0043146D"/>
    <w:rsid w:val="004373BA"/>
    <w:rsid w:val="0044677A"/>
    <w:rsid w:val="004530EA"/>
    <w:rsid w:val="00463499"/>
    <w:rsid w:val="00471709"/>
    <w:rsid w:val="00472F15"/>
    <w:rsid w:val="004772B9"/>
    <w:rsid w:val="004B45CF"/>
    <w:rsid w:val="004D2204"/>
    <w:rsid w:val="004F1E84"/>
    <w:rsid w:val="00505E09"/>
    <w:rsid w:val="00505E99"/>
    <w:rsid w:val="005540A1"/>
    <w:rsid w:val="00565BEC"/>
    <w:rsid w:val="005809A6"/>
    <w:rsid w:val="005865AF"/>
    <w:rsid w:val="005E0379"/>
    <w:rsid w:val="006034EC"/>
    <w:rsid w:val="006037AA"/>
    <w:rsid w:val="00615EB9"/>
    <w:rsid w:val="006223D3"/>
    <w:rsid w:val="006426B6"/>
    <w:rsid w:val="00660250"/>
    <w:rsid w:val="00670447"/>
    <w:rsid w:val="00670A1B"/>
    <w:rsid w:val="00681D7D"/>
    <w:rsid w:val="006820EA"/>
    <w:rsid w:val="006871BA"/>
    <w:rsid w:val="00690BFD"/>
    <w:rsid w:val="006A24C9"/>
    <w:rsid w:val="006B2B2F"/>
    <w:rsid w:val="006C54AD"/>
    <w:rsid w:val="006C7B43"/>
    <w:rsid w:val="006E2615"/>
    <w:rsid w:val="007128F4"/>
    <w:rsid w:val="00723049"/>
    <w:rsid w:val="00727BB4"/>
    <w:rsid w:val="00732D91"/>
    <w:rsid w:val="007378E1"/>
    <w:rsid w:val="007713CD"/>
    <w:rsid w:val="00774303"/>
    <w:rsid w:val="007878CB"/>
    <w:rsid w:val="00794DB4"/>
    <w:rsid w:val="007B62E1"/>
    <w:rsid w:val="007C2941"/>
    <w:rsid w:val="007D0900"/>
    <w:rsid w:val="007E26F1"/>
    <w:rsid w:val="00830AA1"/>
    <w:rsid w:val="0087285E"/>
    <w:rsid w:val="00893234"/>
    <w:rsid w:val="0089603E"/>
    <w:rsid w:val="008B1143"/>
    <w:rsid w:val="008B5C28"/>
    <w:rsid w:val="008B64D1"/>
    <w:rsid w:val="008C1016"/>
    <w:rsid w:val="008C191B"/>
    <w:rsid w:val="008D2CF5"/>
    <w:rsid w:val="008D48BE"/>
    <w:rsid w:val="008E1A82"/>
    <w:rsid w:val="008E3AB4"/>
    <w:rsid w:val="008E4858"/>
    <w:rsid w:val="008F4929"/>
    <w:rsid w:val="008F5278"/>
    <w:rsid w:val="00900E8F"/>
    <w:rsid w:val="00903D3F"/>
    <w:rsid w:val="00923E38"/>
    <w:rsid w:val="00927551"/>
    <w:rsid w:val="009778AB"/>
    <w:rsid w:val="00980A18"/>
    <w:rsid w:val="009A595C"/>
    <w:rsid w:val="009B011F"/>
    <w:rsid w:val="009B234D"/>
    <w:rsid w:val="009E4C79"/>
    <w:rsid w:val="00A036F7"/>
    <w:rsid w:val="00A04364"/>
    <w:rsid w:val="00A41DF9"/>
    <w:rsid w:val="00A80DF2"/>
    <w:rsid w:val="00A96312"/>
    <w:rsid w:val="00AA30BE"/>
    <w:rsid w:val="00AB5E19"/>
    <w:rsid w:val="00AC11CD"/>
    <w:rsid w:val="00AD41A6"/>
    <w:rsid w:val="00AE2624"/>
    <w:rsid w:val="00AE3882"/>
    <w:rsid w:val="00AF24EC"/>
    <w:rsid w:val="00B16D7C"/>
    <w:rsid w:val="00B27E97"/>
    <w:rsid w:val="00B73ABD"/>
    <w:rsid w:val="00B84C47"/>
    <w:rsid w:val="00B95BE1"/>
    <w:rsid w:val="00B96A0C"/>
    <w:rsid w:val="00BC07CE"/>
    <w:rsid w:val="00BC2118"/>
    <w:rsid w:val="00BE0B66"/>
    <w:rsid w:val="00BF02D9"/>
    <w:rsid w:val="00BF63B9"/>
    <w:rsid w:val="00BF6CD1"/>
    <w:rsid w:val="00C0279C"/>
    <w:rsid w:val="00C10520"/>
    <w:rsid w:val="00C1649E"/>
    <w:rsid w:val="00C16A04"/>
    <w:rsid w:val="00C26162"/>
    <w:rsid w:val="00C360B2"/>
    <w:rsid w:val="00C459FF"/>
    <w:rsid w:val="00C47E2E"/>
    <w:rsid w:val="00C51AA4"/>
    <w:rsid w:val="00C61F9A"/>
    <w:rsid w:val="00C713E4"/>
    <w:rsid w:val="00C73346"/>
    <w:rsid w:val="00C76746"/>
    <w:rsid w:val="00CB15E0"/>
    <w:rsid w:val="00CB39AF"/>
    <w:rsid w:val="00CB66A7"/>
    <w:rsid w:val="00CB6E79"/>
    <w:rsid w:val="00CC1684"/>
    <w:rsid w:val="00CE1A0E"/>
    <w:rsid w:val="00CE29FA"/>
    <w:rsid w:val="00CE4CD3"/>
    <w:rsid w:val="00CF2655"/>
    <w:rsid w:val="00CF36EE"/>
    <w:rsid w:val="00D032E6"/>
    <w:rsid w:val="00D05C39"/>
    <w:rsid w:val="00D1389D"/>
    <w:rsid w:val="00D15A85"/>
    <w:rsid w:val="00D16BF6"/>
    <w:rsid w:val="00D30732"/>
    <w:rsid w:val="00D31A4A"/>
    <w:rsid w:val="00D4712B"/>
    <w:rsid w:val="00D8423A"/>
    <w:rsid w:val="00D92ECD"/>
    <w:rsid w:val="00DA461C"/>
    <w:rsid w:val="00DB6611"/>
    <w:rsid w:val="00DD4D6F"/>
    <w:rsid w:val="00DD6404"/>
    <w:rsid w:val="00E043AD"/>
    <w:rsid w:val="00E16AE1"/>
    <w:rsid w:val="00E3322C"/>
    <w:rsid w:val="00E43B51"/>
    <w:rsid w:val="00E50E46"/>
    <w:rsid w:val="00E62EE1"/>
    <w:rsid w:val="00E65C33"/>
    <w:rsid w:val="00E83C93"/>
    <w:rsid w:val="00E8716B"/>
    <w:rsid w:val="00EA3FD5"/>
    <w:rsid w:val="00ED5476"/>
    <w:rsid w:val="00F0035C"/>
    <w:rsid w:val="00F24471"/>
    <w:rsid w:val="00F326DA"/>
    <w:rsid w:val="00F4102B"/>
    <w:rsid w:val="00F41C02"/>
    <w:rsid w:val="00F42BBC"/>
    <w:rsid w:val="00F433DF"/>
    <w:rsid w:val="00F47A1D"/>
    <w:rsid w:val="00F643DF"/>
    <w:rsid w:val="00FA63BC"/>
    <w:rsid w:val="00FB4704"/>
    <w:rsid w:val="00FD1AB1"/>
    <w:rsid w:val="00FE6EE5"/>
    <w:rsid w:val="010A6D02"/>
    <w:rsid w:val="025C51B8"/>
    <w:rsid w:val="07220120"/>
    <w:rsid w:val="08C15984"/>
    <w:rsid w:val="09D409AD"/>
    <w:rsid w:val="2AE01F34"/>
    <w:rsid w:val="2BE30D8F"/>
    <w:rsid w:val="2EEFDBA1"/>
    <w:rsid w:val="568A5A4C"/>
    <w:rsid w:val="5CDA634D"/>
    <w:rsid w:val="63F3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5">
    <w:name w:val="heading 2"/>
    <w:basedOn w:val="1"/>
    <w:next w:val="1"/>
    <w:link w:val="22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">
    <w:name w:val="heading 3"/>
    <w:basedOn w:val="1"/>
    <w:next w:val="1"/>
    <w:link w:val="25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19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8">
    <w:name w:val="heading 5"/>
    <w:basedOn w:val="1"/>
    <w:next w:val="1"/>
    <w:link w:val="24"/>
    <w:unhideWhenUsed/>
    <w:qFormat/>
    <w:uiPriority w:val="0"/>
    <w:pPr>
      <w:keepNext/>
      <w:keepLines/>
      <w:numPr>
        <w:ilvl w:val="2"/>
        <w:numId w:val="1"/>
      </w:numPr>
      <w:contextualSpacing/>
      <w:jc w:val="left"/>
      <w:outlineLvl w:val="4"/>
    </w:pPr>
    <w:rPr>
      <w:rFonts w:ascii="Calibri" w:hAnsi="Calibri" w:eastAsia="宋体" w:cs="Times New Roman"/>
      <w:b/>
      <w:bCs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next w:val="1"/>
    <w:qFormat/>
    <w:uiPriority w:val="0"/>
    <w:pPr>
      <w:widowControl/>
      <w:spacing w:after="120" w:line="360" w:lineRule="auto"/>
      <w:ind w:left="420" w:leftChars="200" w:firstLine="420" w:firstLineChars="200"/>
      <w:jc w:val="left"/>
    </w:pPr>
    <w:rPr>
      <w:rFonts w:ascii="Times New Roman" w:eastAsia="宋体"/>
      <w:kern w:val="0"/>
      <w:sz w:val="21"/>
    </w:rPr>
  </w:style>
  <w:style w:type="paragraph" w:styleId="4">
    <w:name w:val="Body Text Indent"/>
    <w:basedOn w:val="1"/>
    <w:next w:val="1"/>
    <w:qFormat/>
    <w:uiPriority w:val="0"/>
    <w:pPr>
      <w:ind w:left="569" w:firstLine="560"/>
    </w:pPr>
    <w:rPr>
      <w:rFonts w:ascii="楷体_GB2312" w:eastAsia="楷体_GB2312"/>
      <w:sz w:val="28"/>
      <w:szCs w:val="20"/>
    </w:rPr>
  </w:style>
  <w:style w:type="paragraph" w:styleId="9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10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3">
    <w:name w:val="Table Grid"/>
    <w:basedOn w:val="12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style01"/>
    <w:basedOn w:val="14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16">
    <w:name w:val="页眉 字符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4"/>
    <w:link w:val="10"/>
    <w:qFormat/>
    <w:uiPriority w:val="0"/>
    <w:rPr>
      <w:kern w:val="2"/>
      <w:sz w:val="18"/>
      <w:szCs w:val="18"/>
    </w:rPr>
  </w:style>
  <w:style w:type="paragraph" w:styleId="18">
    <w:name w:val="List Paragraph"/>
    <w:basedOn w:val="1"/>
    <w:link w:val="21"/>
    <w:unhideWhenUsed/>
    <w:qFormat/>
    <w:uiPriority w:val="34"/>
    <w:pPr>
      <w:ind w:firstLine="420" w:firstLineChars="200"/>
    </w:pPr>
  </w:style>
  <w:style w:type="character" w:customStyle="1" w:styleId="19">
    <w:name w:val="标题 4 字符"/>
    <w:basedOn w:val="14"/>
    <w:link w:val="7"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20">
    <w:name w:val="msolist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21">
    <w:name w:val="列表段落 字符"/>
    <w:link w:val="18"/>
    <w:qFormat/>
    <w:uiPriority w:val="34"/>
    <w:rPr>
      <w:kern w:val="2"/>
      <w:sz w:val="21"/>
      <w:szCs w:val="24"/>
    </w:rPr>
  </w:style>
  <w:style w:type="character" w:customStyle="1" w:styleId="22">
    <w:name w:val="标题 2 字符"/>
    <w:basedOn w:val="14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table" w:customStyle="1" w:styleId="23">
    <w:name w:val="Table Normal"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标题 5 字符"/>
    <w:basedOn w:val="14"/>
    <w:link w:val="8"/>
    <w:qFormat/>
    <w:uiPriority w:val="0"/>
    <w:rPr>
      <w:rFonts w:ascii="Calibri" w:hAnsi="Calibri" w:eastAsia="宋体" w:cs="Times New Roman"/>
      <w:b/>
      <w:bCs/>
      <w:kern w:val="2"/>
      <w:sz w:val="21"/>
      <w:szCs w:val="28"/>
    </w:rPr>
  </w:style>
  <w:style w:type="character" w:customStyle="1" w:styleId="25">
    <w:name w:val="标题 3 字符"/>
    <w:basedOn w:val="14"/>
    <w:link w:val="6"/>
    <w:semiHidden/>
    <w:qFormat/>
    <w:uiPriority w:val="0"/>
    <w:rPr>
      <w:b/>
      <w:bCs/>
      <w:kern w:val="2"/>
      <w:sz w:val="32"/>
      <w:szCs w:val="32"/>
    </w:rPr>
  </w:style>
  <w:style w:type="paragraph" w:customStyle="1" w:styleId="2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E3AE599E-3233-4E54-82C5-25B4A889C0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2283</Words>
  <Characters>2524</Characters>
  <Lines>30</Lines>
  <Paragraphs>8</Paragraphs>
  <TotalTime>4</TotalTime>
  <ScaleCrop>false</ScaleCrop>
  <LinksUpToDate>false</LinksUpToDate>
  <CharactersWithSpaces>2571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2025-11-20T10:27:00Z</dcterms:created>
  <dc:creator>宅喵</dc:creator>
  <cp:lastModifiedBy>Y.</cp:lastModifiedBy>
  <dcterms:modified xsi:type="dcterms:W3CDTF">2026-09-28T07:35:00Z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53E1C7F6962443D790CC5750C3E0FC93_13</vt:lpwstr>
  </property>
  <property fmtid="{D5CDD505-2E9C-101B-9397-08002B2CF9AE}" pid="4" name="KSOTemplateDocerSaveRecord">
    <vt:lpwstr>eyJoZGlkIjoiNmE4YWE2NWM2NjkyMzUxOGRkNDNkNjJlMmYxYjJlZDkiLCJ1c2VySWQiOiIzMDcwMTYyMzkifQ==</vt:lpwstr>
  </property>
</Properties>
</file>